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EF" w:rsidRDefault="003A18EF" w:rsidP="003349CB">
      <w:pPr>
        <w:spacing w:after="0" w:line="240" w:lineRule="auto"/>
        <w:rPr>
          <w:rFonts w:cs="Gisha"/>
        </w:rPr>
      </w:pPr>
    </w:p>
    <w:p w:rsidR="00110AC7" w:rsidRDefault="00934CDC" w:rsidP="003349CB">
      <w:pPr>
        <w:spacing w:after="0" w:line="240" w:lineRule="auto"/>
        <w:rPr>
          <w:rFonts w:cs="Gisha"/>
        </w:rPr>
      </w:pPr>
      <w:r>
        <w:rPr>
          <w:rFonts w:cs="Gisha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2713355</wp:posOffset>
            </wp:positionH>
            <wp:positionV relativeFrom="page">
              <wp:posOffset>907415</wp:posOffset>
            </wp:positionV>
            <wp:extent cx="913130" cy="906780"/>
            <wp:effectExtent l="0" t="0" r="127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MAR 201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0AC7" w:rsidRDefault="00110AC7" w:rsidP="003349CB">
      <w:pPr>
        <w:spacing w:after="0" w:line="240" w:lineRule="auto"/>
        <w:rPr>
          <w:rFonts w:cs="Gisha"/>
        </w:rPr>
      </w:pPr>
    </w:p>
    <w:p w:rsidR="007C0C57" w:rsidRDefault="007C0C57" w:rsidP="003349CB">
      <w:pPr>
        <w:spacing w:after="0" w:line="240" w:lineRule="auto"/>
        <w:rPr>
          <w:rFonts w:cs="Gisha"/>
        </w:rPr>
      </w:pPr>
    </w:p>
    <w:p w:rsidR="007C0C57" w:rsidRDefault="007C0C57" w:rsidP="003349CB">
      <w:pPr>
        <w:spacing w:after="0" w:line="240" w:lineRule="auto"/>
        <w:rPr>
          <w:rFonts w:cs="Gisha"/>
        </w:rPr>
      </w:pPr>
    </w:p>
    <w:p w:rsidR="007C0C57" w:rsidRDefault="007C0C57" w:rsidP="007C0C57">
      <w:pPr>
        <w:shd w:val="clear" w:color="auto" w:fill="FFFFFF"/>
        <w:spacing w:after="180" w:line="240" w:lineRule="auto"/>
        <w:outlineLvl w:val="1"/>
        <w:rPr>
          <w:rFonts w:ascii="var(--heading-font)" w:eastAsia="Times New Roman" w:hAnsi="var(--heading-font)" w:cs="Times New Roman"/>
          <w:b/>
          <w:bCs/>
          <w:color w:val="323232"/>
          <w:sz w:val="36"/>
          <w:szCs w:val="36"/>
          <w:lang w:eastAsia="en-GB"/>
        </w:rPr>
      </w:pPr>
    </w:p>
    <w:p w:rsidR="00110AC7" w:rsidRDefault="00110AC7" w:rsidP="00934CDC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34CDC">
        <w:rPr>
          <w:b/>
          <w:bCs/>
          <w:sz w:val="22"/>
          <w:szCs w:val="22"/>
          <w:u w:val="single"/>
        </w:rPr>
        <w:t>Subject Access Request (SAR) – Process and Protocol</w:t>
      </w:r>
    </w:p>
    <w:p w:rsidR="009C023B" w:rsidRPr="009C023B" w:rsidRDefault="009C023B" w:rsidP="00934CDC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March 2021</w:t>
      </w:r>
    </w:p>
    <w:p w:rsidR="00934CDC" w:rsidRDefault="00934CDC" w:rsidP="00110AC7">
      <w:pPr>
        <w:pStyle w:val="Default"/>
        <w:rPr>
          <w:sz w:val="22"/>
          <w:szCs w:val="22"/>
        </w:rPr>
      </w:pP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As an organisation</w:t>
      </w:r>
      <w:r w:rsidR="007F6CB8">
        <w:rPr>
          <w:sz w:val="22"/>
          <w:szCs w:val="22"/>
        </w:rPr>
        <w:t>,</w:t>
      </w:r>
      <w:r>
        <w:rPr>
          <w:sz w:val="22"/>
          <w:szCs w:val="22"/>
        </w:rPr>
        <w:t xml:space="preserve"> we collect and process data about individuals. We explain what information we collect, and why</w:t>
      </w:r>
      <w:r w:rsidR="00934CDC">
        <w:rPr>
          <w:sz w:val="22"/>
          <w:szCs w:val="22"/>
        </w:rPr>
        <w:t>,</w:t>
      </w:r>
      <w:r>
        <w:rPr>
          <w:sz w:val="22"/>
          <w:szCs w:val="22"/>
        </w:rPr>
        <w:t xml:space="preserve"> in our Privacy Notices. </w:t>
      </w:r>
    </w:p>
    <w:p w:rsidR="00934CDC" w:rsidRDefault="00934CDC" w:rsidP="00110AC7">
      <w:pPr>
        <w:pStyle w:val="Default"/>
        <w:rPr>
          <w:sz w:val="22"/>
          <w:szCs w:val="22"/>
        </w:rPr>
      </w:pP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Any individual, or person with parental responsibility, or young person with sufficient capacity to make a request</w:t>
      </w:r>
      <w:r w:rsidR="00934CDC">
        <w:rPr>
          <w:sz w:val="22"/>
          <w:szCs w:val="22"/>
        </w:rPr>
        <w:t>,</w:t>
      </w:r>
      <w:r>
        <w:rPr>
          <w:sz w:val="22"/>
          <w:szCs w:val="22"/>
        </w:rPr>
        <w:t xml:space="preserve"> is entitled to ask what information is held. Copi</w:t>
      </w:r>
      <w:r w:rsidR="009C023B">
        <w:rPr>
          <w:sz w:val="22"/>
          <w:szCs w:val="22"/>
        </w:rPr>
        <w:t>es of the information shall</w:t>
      </w:r>
      <w:r>
        <w:rPr>
          <w:sz w:val="22"/>
          <w:szCs w:val="22"/>
        </w:rPr>
        <w:t xml:space="preserve"> be made available on request. A form to complete is available on our website</w:t>
      </w:r>
      <w:r w:rsidR="002658E6">
        <w:rPr>
          <w:sz w:val="22"/>
          <w:szCs w:val="22"/>
        </w:rPr>
        <w:t xml:space="preserve"> </w:t>
      </w:r>
      <w:proofErr w:type="gramStart"/>
      <w:r w:rsidR="002658E6">
        <w:rPr>
          <w:sz w:val="22"/>
          <w:szCs w:val="22"/>
        </w:rPr>
        <w:t>(</w:t>
      </w:r>
      <w:r w:rsidR="009C023B">
        <w:rPr>
          <w:sz w:val="22"/>
          <w:szCs w:val="22"/>
        </w:rPr>
        <w:t xml:space="preserve"> </w:t>
      </w:r>
      <w:proofErr w:type="gramEnd"/>
      <w:hyperlink r:id="rId6" w:history="1">
        <w:r w:rsidR="009C023B" w:rsidRPr="00AD43D6">
          <w:rPr>
            <w:rStyle w:val="Hyperlink"/>
            <w:sz w:val="22"/>
            <w:szCs w:val="22"/>
          </w:rPr>
          <w:t>www.markeaton.derby.sch.uk</w:t>
        </w:r>
      </w:hyperlink>
      <w:r w:rsidR="009C023B">
        <w:rPr>
          <w:sz w:val="22"/>
          <w:szCs w:val="22"/>
        </w:rPr>
        <w:t xml:space="preserve"> </w:t>
      </w:r>
      <w:r w:rsidR="002658E6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:rsidR="00934CDC" w:rsidRDefault="00934CDC" w:rsidP="00110AC7">
      <w:pPr>
        <w:pStyle w:val="Default"/>
        <w:rPr>
          <w:sz w:val="22"/>
          <w:szCs w:val="22"/>
        </w:rPr>
      </w:pP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 ensure that requests are dealt with in an effective and timely manner</w:t>
      </w:r>
      <w:r w:rsidR="009C023B">
        <w:rPr>
          <w:sz w:val="22"/>
          <w:szCs w:val="22"/>
        </w:rPr>
        <w:t>,</w:t>
      </w:r>
      <w:r>
        <w:rPr>
          <w:sz w:val="22"/>
          <w:szCs w:val="22"/>
        </w:rPr>
        <w:t xml:space="preserve"> we may seek to clarify the terms of a request. </w:t>
      </w:r>
    </w:p>
    <w:p w:rsidR="00934CDC" w:rsidRDefault="00934CDC" w:rsidP="00110AC7">
      <w:pPr>
        <w:pStyle w:val="Default"/>
        <w:rPr>
          <w:sz w:val="22"/>
          <w:szCs w:val="22"/>
        </w:rPr>
      </w:pPr>
    </w:p>
    <w:p w:rsidR="00110AC7" w:rsidRDefault="002658E6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make a Subject Access Request, please use the form from the school website or ask at the school office.  Completed SAR forms should be sent to </w:t>
      </w:r>
      <w:hyperlink r:id="rId7" w:history="1">
        <w:r w:rsidRPr="00AD43D6">
          <w:rPr>
            <w:rStyle w:val="Hyperlink"/>
            <w:sz w:val="22"/>
            <w:szCs w:val="22"/>
          </w:rPr>
          <w:t>admin@markeaton.derby.sch.uk</w:t>
        </w:r>
      </w:hyperlink>
      <w:r w:rsidR="009C023B">
        <w:rPr>
          <w:sz w:val="22"/>
          <w:szCs w:val="22"/>
        </w:rPr>
        <w:t xml:space="preserve"> marked For t</w:t>
      </w:r>
      <w:r>
        <w:rPr>
          <w:sz w:val="22"/>
          <w:szCs w:val="22"/>
        </w:rPr>
        <w:t xml:space="preserve">he Attention of the </w:t>
      </w:r>
      <w:proofErr w:type="spellStart"/>
      <w:r>
        <w:rPr>
          <w:sz w:val="22"/>
          <w:szCs w:val="22"/>
        </w:rPr>
        <w:t>Headteacher</w:t>
      </w:r>
      <w:proofErr w:type="spellEnd"/>
      <w:r>
        <w:rPr>
          <w:sz w:val="22"/>
          <w:szCs w:val="22"/>
        </w:rPr>
        <w:t>.</w:t>
      </w:r>
    </w:p>
    <w:p w:rsidR="00934CDC" w:rsidRDefault="00934CDC" w:rsidP="00110AC7">
      <w:pPr>
        <w:pStyle w:val="Default"/>
        <w:rPr>
          <w:sz w:val="22"/>
          <w:szCs w:val="22"/>
        </w:rPr>
      </w:pP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Evidence of identity, on the basis of the information set out and the signature on the identity</w:t>
      </w:r>
      <w:r w:rsidR="0024309C">
        <w:rPr>
          <w:sz w:val="22"/>
          <w:szCs w:val="22"/>
        </w:rPr>
        <w:t>,</w:t>
      </w:r>
      <w:bookmarkStart w:id="0" w:name="_GoBack"/>
      <w:bookmarkEnd w:id="0"/>
      <w:r>
        <w:rPr>
          <w:sz w:val="22"/>
          <w:szCs w:val="22"/>
        </w:rPr>
        <w:t xml:space="preserve"> must be cross-checked to that on the application form. Discretion about employees and persons known to the school may be applicable but</w:t>
      </w:r>
      <w:r w:rsidR="00934CDC">
        <w:rPr>
          <w:sz w:val="22"/>
          <w:szCs w:val="22"/>
        </w:rPr>
        <w:t>,</w:t>
      </w:r>
      <w:r>
        <w:rPr>
          <w:sz w:val="22"/>
          <w:szCs w:val="22"/>
        </w:rPr>
        <w:t xml:space="preserve"> if ID evidence is not required</w:t>
      </w:r>
      <w:r w:rsidR="00934CDC">
        <w:rPr>
          <w:sz w:val="22"/>
          <w:szCs w:val="22"/>
        </w:rPr>
        <w:t>,</w:t>
      </w:r>
      <w:r>
        <w:rPr>
          <w:sz w:val="22"/>
          <w:szCs w:val="22"/>
        </w:rPr>
        <w:t xml:space="preserve"> an explanation must be provided by school staff and signed and dated accordingly. </w:t>
      </w:r>
    </w:p>
    <w:p w:rsidR="00934CDC" w:rsidRDefault="00934CDC" w:rsidP="00110AC7">
      <w:pPr>
        <w:pStyle w:val="Default"/>
        <w:rPr>
          <w:sz w:val="22"/>
          <w:szCs w:val="22"/>
        </w:rPr>
      </w:pP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Exemptions to a SAR exist and may include</w:t>
      </w:r>
      <w:r w:rsidR="00934CDC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Education, Health, Social Work records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Examination marks and scripts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Safeguarding records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Special educational needs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Parental records and reports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Legal advice and proceedings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Adoption and Court records and/or reports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Regulatory activity and official requests e.g. </w:t>
      </w:r>
      <w:proofErr w:type="spellStart"/>
      <w:r>
        <w:rPr>
          <w:sz w:val="22"/>
          <w:szCs w:val="22"/>
        </w:rPr>
        <w:t>DfE</w:t>
      </w:r>
      <w:proofErr w:type="spellEnd"/>
      <w:r>
        <w:rPr>
          <w:sz w:val="22"/>
          <w:szCs w:val="22"/>
        </w:rPr>
        <w:t xml:space="preserve"> statistical information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>• Nati</w:t>
      </w:r>
      <w:r w:rsidR="00934CDC">
        <w:rPr>
          <w:sz w:val="22"/>
          <w:szCs w:val="22"/>
        </w:rPr>
        <w:t>onal security, c</w:t>
      </w:r>
      <w:r>
        <w:rPr>
          <w:sz w:val="22"/>
          <w:szCs w:val="22"/>
        </w:rPr>
        <w:t xml:space="preserve">rime and taxation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Journalism, literature and art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Research history, and statistics </w:t>
      </w: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Confidential references </w:t>
      </w:r>
    </w:p>
    <w:p w:rsidR="00110AC7" w:rsidRDefault="00110AC7" w:rsidP="00110AC7">
      <w:pPr>
        <w:pStyle w:val="Default"/>
        <w:rPr>
          <w:sz w:val="22"/>
          <w:szCs w:val="22"/>
        </w:rPr>
      </w:pP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All data su</w:t>
      </w:r>
      <w:r w:rsidR="00934CDC">
        <w:rPr>
          <w:sz w:val="22"/>
          <w:szCs w:val="22"/>
        </w:rPr>
        <w:t>bjects have the right to know: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What information is held?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Who holds it?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Why is it held?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What is the </w:t>
      </w:r>
      <w:r w:rsidR="00934CDC">
        <w:rPr>
          <w:sz w:val="22"/>
          <w:szCs w:val="22"/>
        </w:rPr>
        <w:t>retention period</w:t>
      </w:r>
      <w:r>
        <w:rPr>
          <w:sz w:val="22"/>
          <w:szCs w:val="22"/>
        </w:rPr>
        <w:t xml:space="preserve">?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That each data subject has rights. Consent can be withdrawn at any time (to some things). </w:t>
      </w:r>
    </w:p>
    <w:p w:rsidR="00110AC7" w:rsidRDefault="00110AC7" w:rsidP="00110AC7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• A right to request rectification, erasure or to limit or stop processing </w:t>
      </w:r>
    </w:p>
    <w:p w:rsidR="00110AC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• A right to complain </w:t>
      </w:r>
    </w:p>
    <w:p w:rsidR="00110AC7" w:rsidRDefault="00110AC7" w:rsidP="00110AC7">
      <w:pPr>
        <w:pStyle w:val="Default"/>
        <w:rPr>
          <w:sz w:val="22"/>
          <w:szCs w:val="22"/>
        </w:rPr>
      </w:pPr>
    </w:p>
    <w:p w:rsidR="00FD1B77" w:rsidRDefault="00110AC7" w:rsidP="00110AC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Many of these questions will be within the Privacy Notices on the school website. </w:t>
      </w:r>
    </w:p>
    <w:p w:rsidR="00FD1B77" w:rsidRDefault="00FD1B77" w:rsidP="00110AC7">
      <w:pPr>
        <w:pStyle w:val="Default"/>
        <w:rPr>
          <w:sz w:val="22"/>
          <w:szCs w:val="22"/>
        </w:rPr>
      </w:pPr>
    </w:p>
    <w:p w:rsidR="007C0C57" w:rsidRDefault="00110AC7" w:rsidP="00110AC7">
      <w:pPr>
        <w:shd w:val="clear" w:color="auto" w:fill="FFFFFF"/>
        <w:spacing w:after="180" w:line="240" w:lineRule="auto"/>
        <w:outlineLvl w:val="1"/>
      </w:pPr>
      <w:r>
        <w:t>The information will be provided in an electronic format, usually within one calendar month of the request. However</w:t>
      </w:r>
      <w:r w:rsidR="009C023B">
        <w:t>, in some circumstances</w:t>
      </w:r>
      <w:r>
        <w:t xml:space="preserve"> </w:t>
      </w:r>
      <w:r w:rsidR="009C023B">
        <w:t>(</w:t>
      </w:r>
      <w:r>
        <w:t>for example</w:t>
      </w:r>
      <w:r w:rsidR="009C023B">
        <w:t>,</w:t>
      </w:r>
      <w:r>
        <w:t xml:space="preserve"> the school is closed for holidays</w:t>
      </w:r>
      <w:r w:rsidR="009C023B">
        <w:t>)</w:t>
      </w:r>
      <w:r>
        <w:t>, this may be extended by up to another calendar month.</w:t>
      </w:r>
    </w:p>
    <w:p w:rsidR="007F6CB8" w:rsidRPr="009C023B" w:rsidRDefault="009C023B" w:rsidP="009C023B">
      <w:pPr>
        <w:shd w:val="clear" w:color="auto" w:fill="FFFFFF"/>
        <w:spacing w:after="180" w:line="240" w:lineRule="auto"/>
        <w:outlineLvl w:val="1"/>
      </w:pPr>
      <w:r>
        <w:t>Following delivery of the information, the requester has the right to ask for a review or use the complaint process if they feel that information has not been provided.</w:t>
      </w:r>
    </w:p>
    <w:sectPr w:rsidR="007F6CB8" w:rsidRPr="009C023B" w:rsidSect="004F1604">
      <w:pgSz w:w="12240" w:h="15840" w:code="1"/>
      <w:pgMar w:top="1134" w:right="1134" w:bottom="1134" w:left="1134" w:header="0" w:footer="60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var(--heading-font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43D69"/>
    <w:multiLevelType w:val="multilevel"/>
    <w:tmpl w:val="4AAE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526AC"/>
    <w:multiLevelType w:val="multilevel"/>
    <w:tmpl w:val="BE80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6228B"/>
    <w:multiLevelType w:val="multilevel"/>
    <w:tmpl w:val="D1BE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1A730F"/>
    <w:multiLevelType w:val="multilevel"/>
    <w:tmpl w:val="A7B6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45092B"/>
    <w:multiLevelType w:val="multilevel"/>
    <w:tmpl w:val="E0B6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FF"/>
    <w:rsid w:val="000272BE"/>
    <w:rsid w:val="000964F4"/>
    <w:rsid w:val="00110AC7"/>
    <w:rsid w:val="00196164"/>
    <w:rsid w:val="0024309C"/>
    <w:rsid w:val="002658E6"/>
    <w:rsid w:val="003349CB"/>
    <w:rsid w:val="00366067"/>
    <w:rsid w:val="003A18EF"/>
    <w:rsid w:val="004F1604"/>
    <w:rsid w:val="00537AA4"/>
    <w:rsid w:val="006917F3"/>
    <w:rsid w:val="00783DAC"/>
    <w:rsid w:val="007A4B64"/>
    <w:rsid w:val="007C0C57"/>
    <w:rsid w:val="007C31CB"/>
    <w:rsid w:val="007F6CB8"/>
    <w:rsid w:val="008833E1"/>
    <w:rsid w:val="00934CDC"/>
    <w:rsid w:val="009A5425"/>
    <w:rsid w:val="009C023B"/>
    <w:rsid w:val="00A779FF"/>
    <w:rsid w:val="00B353B9"/>
    <w:rsid w:val="00BB6179"/>
    <w:rsid w:val="00D74323"/>
    <w:rsid w:val="00D9300A"/>
    <w:rsid w:val="00E96D17"/>
    <w:rsid w:val="00EB6903"/>
    <w:rsid w:val="00FD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1B062-2265-4CE1-89C2-11D8510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A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67"/>
    <w:pPr>
      <w:ind w:left="720"/>
      <w:contextualSpacing/>
    </w:pPr>
  </w:style>
  <w:style w:type="table" w:styleId="TableGrid">
    <w:name w:val="Table Grid"/>
    <w:basedOn w:val="TableNormal"/>
    <w:uiPriority w:val="39"/>
    <w:rsid w:val="00366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7A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10A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markeaton.derb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keaton.derby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cp:lastPrinted>2019-11-21T16:41:00Z</cp:lastPrinted>
  <dcterms:created xsi:type="dcterms:W3CDTF">2021-02-08T15:24:00Z</dcterms:created>
  <dcterms:modified xsi:type="dcterms:W3CDTF">2021-03-23T12:10:00Z</dcterms:modified>
</cp:coreProperties>
</file>